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1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shd w:fill="auto" w:val="clear"/>
              <w:lang w:val="pl-PL" w:eastAsia="zxx" w:bidi="ar-SA"/>
            </w:rPr>
            <w:t xml:space="preserve">Termomodernizacja budynku Policji Izby Dziecka w Katowicach </w:t>
          </w:r>
        </w:p>
        <w:p>
          <w:pPr>
            <w:pStyle w:val="Normal"/>
            <w:spacing w:before="0" w:after="16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shd w:fill="auto" w:val="clear"/>
              <w:lang w:val="pl-PL" w:eastAsia="zxx" w:bidi="ar-SA"/>
            </w:rPr>
            <w:t>przy ul. Tysiąclecia 88 d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00000A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Tekst">
    <w:name w:val="Tekst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235</Words>
  <Characters>2243</Characters>
  <CharactersWithSpaces>2493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2017-08-09T09:40:17Z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