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3265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9507" w:type="dxa"/>
      <w:jc w:val="left"/>
      <w:tblInd w:w="148" w:type="dxa"/>
      <w:tblBorders>
        <w:top w:val="thickThinSmallGap" w:sz="12" w:space="0" w:color="000001"/>
        <w:left w:val="thickThinSmallGap" w:sz="12" w:space="0" w:color="000001"/>
        <w:bottom w:val="thickThinSmallGap" w:sz="12" w:space="0" w:color="000001"/>
        <w:insideH w:val="thickThinSmallGap" w:sz="12" w:space="0" w:color="000001"/>
      </w:tblBorders>
      <w:tblCellMar>
        <w:top w:w="60" w:type="dxa"/>
        <w:left w:w="-30" w:type="dxa"/>
        <w:bottom w:w="60" w:type="dxa"/>
        <w:right w:w="60" w:type="dxa"/>
      </w:tblCellMar>
    </w:tblPr>
    <w:tblGrid>
      <w:gridCol w:w="2040"/>
      <w:gridCol w:w="7466"/>
    </w:tblGrid>
    <w:tr>
      <w:trPr>
        <w:trHeight w:val="1243" w:hRule="atLeast"/>
      </w:trPr>
      <w:tc>
        <w:tcPr>
          <w:tcW w:w="2040" w:type="dxa"/>
          <w:tcBorders>
            <w:top w:val="thickThinSmallGap" w:sz="12" w:space="0" w:color="000001"/>
            <w:left w:val="thickThinSmallGap" w:sz="12" w:space="0" w:color="000001"/>
            <w:bottom w:val="thickThinSmallGap" w:sz="12" w:space="0" w:color="000001"/>
            <w:insideH w:val="thickThinSmallGap" w:sz="12" w:space="0" w:color="000001"/>
          </w:tcBorders>
          <w:shd w:fill="auto" w:val="clear"/>
          <w:tcMar>
            <w:left w:w="-30" w:type="dxa"/>
          </w:tcMar>
        </w:tcPr>
        <w:p>
          <w:pPr>
            <w:pStyle w:val="Normal"/>
            <w:suppressAutoHyphens w:val="false"/>
            <w:snapToGrid w:val="false"/>
            <w:spacing w:before="0" w:after="160"/>
            <w:jc w:val="right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80745" cy="600075"/>
                <wp:effectExtent l="0" t="0" r="0" b="0"/>
                <wp:wrapSquare wrapText="largest"/>
                <wp:docPr id="1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4" t="-46" r="-24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66" w:type="dxa"/>
          <w:tcBorders>
            <w:top w:val="thickThinSmallGap" w:sz="12" w:space="0" w:color="000001"/>
            <w:left w:val="thickThinSmallGap" w:sz="12" w:space="0" w:color="000001"/>
            <w:bottom w:val="thickThinSmallGap" w:sz="12" w:space="0" w:color="000001"/>
            <w:right w:val="thickThinSmallGap" w:sz="12" w:space="0" w:color="000001"/>
            <w:insideH w:val="thickThinSmallGap" w:sz="12" w:space="0" w:color="000001"/>
            <w:insideV w:val="thickThinSmallGap" w:sz="12" w:space="0" w:color="000001"/>
          </w:tcBorders>
          <w:shd w:fill="auto" w:val="clear"/>
          <w:tcMar>
            <w:left w:w="-3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Projekt realizowany w oparciu o umowę o dofinansowanie przedsięwzięcia z Wojewódzkiego Funduszu Ochrony Środowiska i Gospodarki Wodnej w Katowicach.</w:t>
          </w:r>
        </w:p>
        <w:p>
          <w:pPr>
            <w:pStyle w:val="Normal"/>
            <w:suppressAutoHyphens w:val="false"/>
            <w:bidi w:val="0"/>
            <w:spacing w:before="0" w:after="160"/>
            <w:jc w:val="center"/>
            <w:rPr/>
          </w:pPr>
          <w:r>
            <w:rPr>
              <w:rFonts w:eastAsia="Times New Roman" w:cs="Times New Roman"/>
              <w:sz w:val="20"/>
              <w:szCs w:val="20"/>
            </w:rPr>
            <w:t>„</w:t>
          </w: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aps w:val="false"/>
              <w:smallCaps w:val="false"/>
              <w:color w:val="000000"/>
              <w:spacing w:val="0"/>
              <w:sz w:val="20"/>
              <w:szCs w:val="20"/>
              <w:u w:val="none"/>
              <w:lang w:val="pl-PL" w:eastAsia="zxx" w:bidi="ar-SA"/>
            </w:rPr>
            <w:t xml:space="preserve">Termomodernizacja </w:t>
          </w: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aps w:val="false"/>
              <w:smallCaps w:val="false"/>
              <w:color w:val="auto"/>
              <w:spacing w:val="0"/>
              <w:sz w:val="20"/>
              <w:szCs w:val="20"/>
              <w:u w:val="none"/>
              <w:lang w:val="pl-PL" w:eastAsia="zxx" w:bidi="ar-SA"/>
            </w:rPr>
            <w:t>budynku Komisariatu Policji w Pszowie przy                                      ul. Ignacego Paderewskiego 33</w:t>
          </w:r>
          <w:r>
            <w:rPr>
              <w:rFonts w:cs="Times New Roman"/>
              <w:sz w:val="20"/>
              <w:szCs w:val="20"/>
            </w:rPr>
            <w:t>”</w:t>
          </w:r>
        </w:p>
      </w:tc>
    </w:tr>
  </w:tbl>
  <w:p>
    <w:pPr>
      <w:pStyle w:val="Normal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LibreOffice/5.3.3.2$Windows_X86_64 LibreOffice_project/3d9a8b4b4e538a85e0782bd6c2d430bafe583448</Application>
  <Pages>3</Pages>
  <Words>234</Words>
  <Characters>2249</Characters>
  <CharactersWithSpaces>2535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2017-07-13T11:49:16Z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