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359" w:type="dxa"/>
      <w:jc w:val="left"/>
      <w:tblInd w:w="-405" w:type="dxa"/>
      <w:tblBorders>
        <w:top w:val="thickThinLargeGap" w:sz="6" w:space="0" w:color="000001"/>
        <w:left w:val="thickThinLargeGap" w:sz="6" w:space="0" w:color="000001"/>
        <w:bottom w:val="thickThinLargeGap" w:sz="6" w:space="0" w:color="000001"/>
        <w:insideH w:val="thickThinLargeGap" w:sz="6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207"/>
      <w:gridCol w:w="8151"/>
    </w:tblGrid>
    <w:tr>
      <w:trPr>
        <w:trHeight w:val="1136" w:hRule="atLeast"/>
      </w:trPr>
      <w:tc>
        <w:tcPr>
          <w:tcW w:w="2207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insideH w:val="thickThinLargeGap" w:sz="6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lang w:eastAsia="pl-PL"/>
            </w:rPr>
          </w:pPr>
          <w:r>
            <w:rPr>
              <w:lang w:eastAsia="pl-PL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9635" cy="608965"/>
                <wp:effectExtent l="0" t="0" r="0" b="0"/>
                <wp:wrapSquare wrapText="largest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6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1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thickThinLargeGap" w:sz="6" w:space="0" w:color="000001"/>
            <w:insideV w:val="thickThinLargeGap" w:sz="6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18"/>
              <w:szCs w:val="18"/>
              <w:lang w:eastAsia="pl-PL"/>
            </w:rPr>
          </w:pPr>
          <w:r>
            <w:rPr>
              <w:rFonts w:cs="Times New Roman"/>
              <w:sz w:val="18"/>
              <w:szCs w:val="18"/>
              <w:lang w:eastAsia="pl-PL"/>
            </w:rPr>
            <w:t>Projekt realizowany w oparciu o umowę o dofinansowanie przedsięwzięcia z Wojewódzkiego Funduszu Ochrony Środowiska i Gospodarki Wodnej w Katowicach.</w:t>
          </w:r>
        </w:p>
        <w:p>
          <w:pPr>
            <w:pStyle w:val="Normal"/>
            <w:spacing w:lineRule="atLeast" w:line="340" w:before="0" w:after="160"/>
            <w:ind w:left="0" w:right="13" w:hanging="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18"/>
              <w:szCs w:val="18"/>
              <w:highlight w:val="white"/>
              <w:shd w:fill="FFFFFF" w:val="clear"/>
              <w:lang w:val="pl-PL" w:eastAsia="zxx" w:bidi="zxx"/>
            </w:rPr>
            <w:t>Termomodernizacja budynku Komisariatu Policji w Koniecpolu, ul. Działkowa 2</w:t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2</Pages>
  <Words>237</Words>
  <Characters>2252</Characters>
  <CharactersWithSpaces>2512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2016-09-13T10:52:49Z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