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15" w:lineRule="atLeast"/>
      </w:pPr>
      <w:r>
        <w:rPr>
          <w:sz w:val="22"/>
          <w:szCs w:val="22"/>
        </w:rPr>
        <w:t>ZP-2380-594-121/</w:t>
      </w:r>
      <w:r>
        <w:rPr>
          <w:sz w:val="22"/>
          <w:szCs w:val="22"/>
        </w:rPr>
        <w:t>6295</w:t>
      </w:r>
      <w:r>
        <w:rPr>
          <w:sz w:val="22"/>
          <w:szCs w:val="22"/>
        </w:rPr>
        <w:t>/2013</w:t>
        <w:tab/>
        <w:tab/>
        <w:tab/>
        <w:tab/>
        <w:tab/>
        <w:tab/>
        <w:t xml:space="preserve">Katowice, dnia 14.11.2013 r. </w:t>
      </w:r>
    </w:p>
    <w:p>
      <w:pPr>
        <w:pStyle w:val="style0"/>
        <w:spacing w:line="115" w:lineRule="atLeast"/>
      </w:pPr>
      <w:r>
        <w:rPr>
          <w:sz w:val="22"/>
          <w:szCs w:val="22"/>
        </w:rPr>
        <w:tab/>
      </w:r>
    </w:p>
    <w:p>
      <w:pPr>
        <w:pStyle w:val="style0"/>
        <w:spacing w:line="115" w:lineRule="atLeast"/>
      </w:pPr>
      <w:r>
        <w:rPr/>
      </w:r>
    </w:p>
    <w:p>
      <w:pPr>
        <w:pStyle w:val="style0"/>
        <w:spacing w:line="115" w:lineRule="atLeast"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Egz. pojedynczy</w:t>
      </w:r>
    </w:p>
    <w:p>
      <w:pPr>
        <w:pStyle w:val="style0"/>
        <w:spacing w:line="115" w:lineRule="atLeast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Dot. prowadzonego postępowania o udzielenie zamówienia publicznego na: </w:t>
      </w:r>
    </w:p>
    <w:p>
      <w:pPr>
        <w:pStyle w:val="style0"/>
        <w:spacing w:line="115" w:lineRule="atLeast"/>
        <w:jc w:val="both"/>
      </w:pP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Zaprojektowanie i wybudowanie w ramach zadania pn. Nadbudowa i rozbudowa siedziby                  Komendy Miejskiej Policji w Dąbrowie Górniczej przy ul. Piłsudskiego 11”.</w:t>
        <w:tab/>
      </w:r>
      <w:r>
        <w:rPr>
          <w:sz w:val="22"/>
          <w:szCs w:val="22"/>
        </w:rPr>
        <w:tab/>
        <w:tab/>
        <w:tab/>
        <w:tab/>
        <w:tab/>
        <w:t xml:space="preserve">   </w:t>
      </w:r>
    </w:p>
    <w:p>
      <w:pPr>
        <w:pStyle w:val="style0"/>
        <w:spacing w:line="115" w:lineRule="atLeast"/>
      </w:pPr>
      <w:r>
        <w:rPr/>
      </w:r>
    </w:p>
    <w:p>
      <w:pPr>
        <w:pStyle w:val="style0"/>
        <w:spacing w:line="115" w:lineRule="atLeast"/>
        <w:ind w:firstLine="1416" w:left="0" w:right="0"/>
        <w:jc w:val="both"/>
      </w:pPr>
      <w:r>
        <w:rPr>
          <w:rFonts w:cs="Times New Roman" w:eastAsia="Arial Unicode MS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Komenda Wojewódzka Policji w Katowicach </w:t>
      </w:r>
      <w:r>
        <w:rPr>
          <w:rFonts w:cs="Times New Roman"/>
          <w:b w:val="false"/>
          <w:bCs w:val="false"/>
          <w:color w:val="000000"/>
          <w:sz w:val="22"/>
          <w:szCs w:val="22"/>
          <w:u w:val="none"/>
          <w:shd w:fill="FFFFFF" w:val="clear"/>
          <w:lang w:bidi="pl-PL"/>
        </w:rPr>
        <w:t xml:space="preserve">zgodnie z art. 38 ust. 2 ustawy Pzp informuje, że wpłynęły zapytania do niniejszego postępowania podczas wizji na obiekcie w dniu 30.10.2013 r.:  </w:t>
      </w:r>
    </w:p>
    <w:p>
      <w:pPr>
        <w:pStyle w:val="style0"/>
        <w:spacing w:line="115" w:lineRule="atLeast"/>
        <w:ind w:firstLine="1416" w:left="0" w:right="0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Który z dokumentów standaryzacyjnych, wytycznych jest nadrzędny w przypadku sprzecznych zapisów dot. np. wykończenia wnętrz, elewacji, standardów itp.?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Nadrzędnym dokumentem dla Zamawiającego, w którym zawarte są minimalne wymagania dotyczące budowanych lub remontowanych obiektów Policji są: „Wytyczne nr 3 Komendanta Głównego Policji z dnia 30 lipca 2013 roku w sprawie standardów technicznych, funkcjonalnych i użytkowych obowiązujących w obiektach służbowych Policji" wraz z wymienionymi w rozdziale 11 wybranymi aktami prawnymi (m. in „Księga znaku”, „Księga standaryzacji” i inne). Dodatkowe wymagania zawarte są w PFU oraz SIWZ i załącznikach do niego.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2.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w obiekcie ma być węzeł cieplny, czy kotłownia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W obiekcie ma być węzeł cieplny.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3.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w obiekcie przewidziana jest instalacja solarna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Zamawiający nie przewiduje montażu instalacji solarnej.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4.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Co należy uwzględnić w wyposażeniu stałym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widowControl w:val="false"/>
        <w:tabs/>
        <w:spacing w:line="115" w:lineRule="atLeast"/>
        <w:ind w:hanging="0" w:left="14" w:right="0"/>
        <w:jc w:val="both"/>
      </w:pPr>
      <w:r>
        <w:rPr>
          <w:rFonts w:cs="Times New Roman" w:eastAsia="Arial Unicode MS"/>
          <w:sz w:val="22"/>
          <w:szCs w:val="22"/>
        </w:rPr>
        <w:t>W Programie Funkcjonalno-Użytkowym przedstawiono zakupy i dostawy realizowane przez Zamawiającego, natomiast pozostałe kompletne zamierzenie inwestycyjne określone Programem Funkcjonalno-Użytkowym realizuje Wykonawca.</w:t>
      </w:r>
    </w:p>
    <w:p>
      <w:pPr>
        <w:pStyle w:val="style0"/>
        <w:widowControl w:val="false"/>
        <w:spacing w:line="115" w:lineRule="atLeast"/>
        <w:ind w:hanging="0" w:left="0" w:right="0"/>
        <w:jc w:val="both"/>
      </w:pPr>
      <w:r>
        <w:rPr>
          <w:rFonts w:cs="Times New Roman" w:eastAsia="Arial Unicode MS"/>
          <w:sz w:val="22"/>
          <w:szCs w:val="22"/>
        </w:rPr>
        <w:t>Szczegółowe zestawienie elementów wchodzących w skład wyposażenia stałego zostanie określone na etapie sporządzenia dokumentacji projektowej.</w:t>
      </w:r>
    </w:p>
    <w:p>
      <w:pPr>
        <w:pStyle w:val="style0"/>
        <w:widowControl w:val="false"/>
        <w:spacing w:line="115" w:lineRule="atLeast"/>
        <w:ind w:hanging="0" w:left="0" w:right="0"/>
        <w:jc w:val="both"/>
      </w:pPr>
      <w:r>
        <w:rPr>
          <w:rFonts w:cs="Times New Roman" w:eastAsia="Arial Unicode MS"/>
          <w:sz w:val="22"/>
          <w:szCs w:val="22"/>
        </w:rPr>
        <w:t>Z uwagi na różnorodność technologii, Zamawiający na etapie przedprojektowym nie może przewidzieć wszystkich elementów wyposażenia stałego i w związku z tym poniżej przedstawia niepełny wykaz elementów wchodzących w skład wyposażenia stałego, należącego do realizacji przez Wykonawcę robót:</w:t>
      </w:r>
    </w:p>
    <w:p>
      <w:pPr>
        <w:pStyle w:val="style0"/>
        <w:widowControl w:val="false"/>
        <w:tabs/>
        <w:spacing w:line="115" w:lineRule="atLeast"/>
        <w:ind w:hanging="322" w:left="329" w:right="0"/>
        <w:jc w:val="both"/>
      </w:pPr>
      <w:r>
        <w:rPr>
          <w:rFonts w:cs="Times New Roman" w:eastAsia="Arial Unicode MS"/>
          <w:sz w:val="22"/>
          <w:szCs w:val="22"/>
        </w:rPr>
        <w:t xml:space="preserve">- </w:t>
        <w:tab/>
        <w:t>pomieszczenie akumulatorowni wyposażone w kompletny zestaw baterii akumulatorowych, zgodnie z dokumentacją projektową;</w:t>
      </w:r>
    </w:p>
    <w:p>
      <w:pPr>
        <w:pStyle w:val="style0"/>
        <w:widowControl w:val="false"/>
        <w:tabs/>
        <w:spacing w:line="115" w:lineRule="atLeast"/>
        <w:ind w:hanging="322" w:left="329" w:right="0"/>
        <w:jc w:val="both"/>
      </w:pPr>
      <w:r>
        <w:rPr>
          <w:rFonts w:cs="Times New Roman" w:eastAsia="Arial Unicode MS"/>
          <w:sz w:val="22"/>
          <w:szCs w:val="22"/>
        </w:rPr>
        <w:t>-  pomieszczenie wymiennikowni wyposażone w węzeł wymiennikowy centralnego ogrzewania, zgodnie z dokumentacją projektową;</w:t>
      </w:r>
    </w:p>
    <w:p>
      <w:pPr>
        <w:pStyle w:val="style0"/>
        <w:widowControl w:val="false"/>
        <w:tabs/>
        <w:spacing w:line="115" w:lineRule="atLeast"/>
        <w:ind w:hanging="322" w:left="329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korytarze, sanitariaty, pomieszczenia serwerowni i pomieszczenia dyżurnych wyposażone w lekkie kasetonowe stopy podwieszane 600x600 mm typu Termatex;</w:t>
      </w:r>
    </w:p>
    <w:p>
      <w:pPr>
        <w:pStyle w:val="style0"/>
        <w:widowControl w:val="false"/>
        <w:tabs/>
        <w:spacing w:line="115" w:lineRule="atLeast"/>
        <w:ind w:hanging="322" w:left="329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sala narad i sale odpraw wyposażone w pulpity sterownicze i urządzenia dla umożliwienia wyświetlania slajdów, odtwarzania filmów, nagłaśniające, TV, telekonferencyjne itp.;</w:t>
      </w:r>
    </w:p>
    <w:p>
      <w:pPr>
        <w:pStyle w:val="style0"/>
        <w:widowControl w:val="false"/>
        <w:tabs>
          <w:tab w:leader="none" w:pos="1071" w:val="left"/>
        </w:tabs>
        <w:spacing w:line="115" w:lineRule="atLeast"/>
        <w:ind w:hanging="364" w:left="364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wszystkie pomieszczenia sanitariatów wyposażone w suszarki elektryczne, lustra, pojemniki na papier, mydło, ręczniki;</w:t>
      </w:r>
    </w:p>
    <w:p>
      <w:pPr>
        <w:pStyle w:val="style0"/>
        <w:widowControl w:val="false"/>
        <w:tabs>
          <w:tab w:leader="none" w:pos="1071" w:val="left"/>
        </w:tabs>
        <w:spacing w:line="115" w:lineRule="atLeast"/>
        <w:ind w:hanging="364" w:left="364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wszystkie szafki pod zlewozmywaki oraz kabiny natryskowe dostarcza i montuje również Wykonawca;</w:t>
      </w:r>
    </w:p>
    <w:p>
      <w:pPr>
        <w:pStyle w:val="style0"/>
        <w:widowControl w:val="false"/>
        <w:tabs>
          <w:tab w:leader="none" w:pos="1071" w:val="left"/>
        </w:tabs>
        <w:spacing w:line="115" w:lineRule="atLeast"/>
        <w:ind w:hanging="364" w:left="364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pomieszczenia: magazynów, depozytów, akumulatorowni, serwerowni, dyżurki (śluza), pom. łączności specjalnej, ODN, pełnomocnik ds. OIN, kancelarii tajnej, archiwów, pokój okazań/przesłuchań, pom. techników kryminalistyki – należy wyposażyć w drzwi stalowe klasy C, kraty okienne w ościeżach od strony zewnętrznej budynku;</w:t>
      </w:r>
    </w:p>
    <w:p>
      <w:pPr>
        <w:pStyle w:val="style0"/>
        <w:widowControl w:val="false"/>
        <w:tabs/>
        <w:spacing w:line="115" w:lineRule="atLeast"/>
        <w:ind w:hanging="379" w:left="393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pomieszczenia serwerowni kompletnie wyposażone w oparciu o dokumentację projektową (poza elementami realizowanymi przez Zamawiającego, wyszczególnionymi w Programie Funkcjonalno-Użytkowym);</w:t>
      </w:r>
    </w:p>
    <w:p>
      <w:pPr>
        <w:pStyle w:val="style0"/>
        <w:widowControl w:val="false"/>
        <w:tabs/>
        <w:spacing w:line="115" w:lineRule="atLeast"/>
        <w:ind w:hanging="379" w:left="393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kompletne wyposażenie recepcji wraz z napisem POLICJA i logo Policji, zgodnie z Księgą Standaryzacji Komend i Komisariatów Policji Polskiej + tablica informacyjna w strefie wejściowej;</w:t>
      </w:r>
    </w:p>
    <w:p>
      <w:pPr>
        <w:pStyle w:val="style0"/>
        <w:widowControl w:val="false"/>
        <w:tabs/>
        <w:spacing w:line="115" w:lineRule="atLeast"/>
        <w:ind w:hanging="379" w:left="393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dyżurka i magazyn broni/wydawanie wyposażone w okienka podawcze przesuwne                                  z zabezpieczeniem blokującym w konstrukcji aluminiowej z szybą pojedynczą P6;</w:t>
      </w:r>
    </w:p>
    <w:p>
      <w:pPr>
        <w:pStyle w:val="style0"/>
        <w:widowControl w:val="false"/>
        <w:tabs/>
        <w:spacing w:line="115" w:lineRule="atLeast"/>
        <w:ind w:hanging="379" w:left="393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dyżurka wyposażona w stałą zabudowę biurkową z pulpitem sterowniczym zapewniającym łączność telefoniczną, radiową zewnętrzną, radiową wewnętrzną, obserwację monitoringu, sterowanie oświetleniem itp.;</w:t>
      </w:r>
    </w:p>
    <w:p>
      <w:pPr>
        <w:pStyle w:val="style0"/>
        <w:widowControl w:val="false"/>
        <w:tabs/>
        <w:spacing w:line="115" w:lineRule="atLeast"/>
        <w:ind w:hanging="379" w:left="393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pomieszczenia: ODN, pełnomocnika ds. OIN, kancelarii tajnej na szybach okiennych naklejone folie odblaskowe;</w:t>
      </w:r>
    </w:p>
    <w:p>
      <w:pPr>
        <w:pStyle w:val="style0"/>
        <w:widowControl w:val="false"/>
        <w:tabs/>
        <w:spacing w:line="115" w:lineRule="atLeast"/>
        <w:ind w:hanging="435" w:left="421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>pomieszczenia: magazynu broni, archiwum i sanitariatów szyby oklejone folią matową;</w:t>
      </w:r>
    </w:p>
    <w:p>
      <w:pPr>
        <w:pStyle w:val="style0"/>
        <w:widowControl w:val="false"/>
        <w:tabs/>
        <w:spacing w:line="115" w:lineRule="atLeast"/>
        <w:ind w:hanging="477" w:left="456" w:right="0"/>
        <w:jc w:val="both"/>
      </w:pPr>
      <w:r>
        <w:rPr>
          <w:rFonts w:cs="Times New Roman" w:eastAsia="Arial Unicode MS"/>
          <w:sz w:val="22"/>
          <w:szCs w:val="22"/>
        </w:rPr>
        <w:t>-</w:t>
        <w:tab/>
        <w:t xml:space="preserve"> siłownia wyposażona w: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jedno urządzenie do ćwiczeń np. Atlas wielostanowiskowy OLIMP 04 G085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10 sztuk materacy asekuracyjnych np. MARBO SPORT 200x120x15 cm T90 MC-M010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10 sztuk materacy gimnastycznych z antypoślizgiem np. MARBO SPORT 200x120x5 cm T140 MC-M005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sztuka piłki gimnastycznej balastowej np. Bosa REEBOK – lub                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sztuka piłki gimnastycznej np. Dura Ball Pro REEBOK 75 cm srebrna – lub 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sztuka piłki lekarskiej 10 KG z podwójnym uchwytem np. REEBOK                     RE-21130 H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do ćwiczeń np. poliuretanowy Rep Set REEBOK – lub          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do ćwiczeń np. Step REEBOK  DECK RE-21170 – lub       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do dezynfekcji rąk np. My Clean Point COMPACK – lub     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bieżni profesjonalnej np. MATRIX T7xe z opaską do telemetrycznego pomiaru pulsu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rower treningowy np. MATRIX R3X – lub o identycznych parametrach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orbitrek np. Orbitrek FINNLO MAXIMUM niemieckiej firmy HAMMER SPORT AG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stepper np. Stepper 95 Si LIFE FITNESS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ławka do ćwiczeń np. ławka do ćwiczeń modlitewnik BODY-SOLID GPCB 3C9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urządzenie ławka do ćwiczeń np. ławka do ćwiczeń BODY-SOLID GDIB46L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zestaw hantli poliuretanowych 2-20 kg (skok co 2 kg, 10 par) + stojak poziomy np. EPDB1000R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zestaw hantli np. Profi inSPORTline 2,5-20 kg (skok co 2,5 kg, 8 par) + stojak – lub i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4 sztuki hantli np. Ketlebells REEBOK RE-21300 4 KG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4 sztuki hantli np. Ketlebells REEBOK RE-21301 8 KG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4 sztuki hantli np. Ketlebells REEBOK RE-21302 12 KG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4 sztuki hantli np. Ketlebells REEBOK RE-21303 16 KG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4 sztuki hantli np. Ketlebells REEBOK RE-21304 20 KG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1 stojak na sztangi i ciężarki np. firmy KETTLER (7499-300) o max obciążeniu 500 kg, o wymiarach (dł./szer./wys.) 120/60/90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gryfy do sztang: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- 2 sztuki gryfy krótkie np. Platinum Fitness 50 cm/ 50 mm z zaciskami (zaciski sprężynowe x 2, waga 5 kg, dł. 50 cm, średnica fi 50 mm, średnica części chwytnej 28 mm, wytrzymałość na obciążenie 80 kg) – lub o identycznych parametrach,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- 1 sztuka gryf prosty profesjonalny np. Platinum Fitness 180 cm/ 50 mm                      z zaciskami (zaciski sprężynowe x 2, waga 18 kg, dł. 180 cm, średnica fi 50 mm, średnica części chwytnej 28 mm, wytrzymałość na obciążenie 200 kg) – lub                    o identycznych parametrach,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- 1 sztuka gryf prosty profesjonalny np. Platinum Fitness 220 cm/ 50 mm                      z zaciskami (zaciski sprężynowe x 2, waga 20 kg, dł. 220 cm, średnica fi 50 mm, średnica części chwytnej 28 mm, wytrzymałość na obciążenie 320 kg) – lub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Arial Unicode MS"/>
          <w:sz w:val="22"/>
          <w:szCs w:val="22"/>
        </w:rPr>
        <w:t>obciążenia gumowane np. obciążenia olimpijskie gumowane inSPORTline (żeliwo oblewane gumą – kolor czarny) – lub o identycznych parametrach: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- 16 sztuk, obciążenie 1,25 KG (średnica otworu 51 mm),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- 8 sztuk, obciążenie 2,50 KG (średnica otworu 51 mm),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- 4 sztuki, obciążenie 5 KG (średnica otworu 51 mm),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- 2 sztuki, obciążenie 10 KG (średnica otworu 51 mm),</w:t>
      </w:r>
    </w:p>
    <w:p>
      <w:pPr>
        <w:pStyle w:val="style0"/>
        <w:widowControl w:val="false"/>
        <w:spacing w:line="115" w:lineRule="atLeast"/>
        <w:ind w:hanging="0" w:left="2127" w:right="0"/>
        <w:jc w:val="both"/>
      </w:pPr>
      <w:r>
        <w:rPr>
          <w:rFonts w:cs="Times New Roman" w:eastAsia="Arial Unicode MS"/>
          <w:sz w:val="22"/>
          <w:szCs w:val="22"/>
        </w:rPr>
        <w:t>- 2 sztuki, obciążenie 20 KG (średnica otworu 51 mm),</w:t>
      </w:r>
    </w:p>
    <w:p>
      <w:pPr>
        <w:pStyle w:val="style0"/>
        <w:widowControl w:val="false"/>
        <w:tabs/>
        <w:spacing w:line="115" w:lineRule="atLeast"/>
        <w:ind w:hanging="0" w:left="14" w:right="0"/>
        <w:jc w:val="both"/>
      </w:pPr>
      <w:r>
        <w:rPr>
          <w:rFonts w:cs="Times New Roman" w:eastAsia="Arial Unicode MS"/>
          <w:sz w:val="22"/>
          <w:szCs w:val="22"/>
        </w:rPr>
        <w:t xml:space="preserve">- </w:t>
        <w:tab/>
        <w:t>w ścianie pomiędzy pokojem obserwacji a pokojem okazań/przesłuchań należy zamontować lustro weneckie o wym. 200 x 150 cm stałe w konstrukcji aluminiowej antywyważeniowej W4                          z szybą pojedynczą P6;</w:t>
      </w:r>
    </w:p>
    <w:p>
      <w:pPr>
        <w:pStyle w:val="style0"/>
        <w:widowControl w:val="false"/>
        <w:tabs/>
        <w:spacing w:line="115" w:lineRule="atLeast"/>
        <w:ind w:hanging="0" w:left="14" w:right="0"/>
        <w:jc w:val="both"/>
      </w:pPr>
      <w:r>
        <w:rPr>
          <w:rFonts w:cs="Times New Roman" w:eastAsia="Arial Unicode MS"/>
          <w:sz w:val="22"/>
          <w:szCs w:val="22"/>
        </w:rPr>
        <w:t xml:space="preserve">-  </w:t>
        <w:tab/>
        <w:t>pokój okazań/przesłuchań wyposażony w zabezpieczenia otworu okiennego, wnęki  grzejnikowej oraz otworu wentylacyjnego siatką o oczkach 10x10 mm i drutu grub. 2-3  mm                          w ramkach otwieranych z kątownika z użebrowaniem z teownika i zamykaniem na klucz imbusowy;</w:t>
      </w:r>
    </w:p>
    <w:p>
      <w:pPr>
        <w:pStyle w:val="style0"/>
        <w:spacing w:line="115" w:lineRule="atLeast"/>
        <w:ind w:hanging="0" w:left="0" w:right="0"/>
        <w:jc w:val="both"/>
      </w:pPr>
      <w:r>
        <w:rPr>
          <w:rFonts w:cs="Times New Roman" w:eastAsia="Arial Unicode MS"/>
          <w:sz w:val="22"/>
          <w:szCs w:val="22"/>
        </w:rPr>
        <w:t xml:space="preserve">- </w:t>
        <w:tab/>
        <w:t>pomieszczenie agregatu prądotwórczego</w:t>
      </w:r>
      <w:r>
        <w:rPr>
          <w:rFonts w:cs="Times New Roman" w:eastAsia="Times New Roman"/>
          <w:sz w:val="22"/>
          <w:szCs w:val="22"/>
          <w:lang w:eastAsia="pl-PL"/>
        </w:rPr>
        <w:t xml:space="preserve"> wyposażone w agregat prądotwórczy o wymaganej mocy (właściwa moc wyniknie z obliczeń projektowych) jako urządzenie do stałej zabudowy                          z poduszkami amortyzacyjnymi i odprowadzeniem spalin z pomieszczenia oraz nawiewem powietrza;</w:t>
      </w:r>
    </w:p>
    <w:p>
      <w:pPr>
        <w:pStyle w:val="style0"/>
        <w:tabs/>
        <w:spacing w:line="115" w:lineRule="atLeast"/>
        <w:ind w:hanging="0" w:left="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-     w budynku dobudowywanym dźwig osobowy 6-cio przystankowy o udźwigu 630kg   przystosowany dla osób niepełnosprawnych,</w:t>
      </w:r>
    </w:p>
    <w:p>
      <w:pPr>
        <w:pStyle w:val="style0"/>
        <w:tabs/>
        <w:spacing w:line="115" w:lineRule="atLeast"/>
        <w:ind w:hanging="14" w:left="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- </w:t>
        <w:tab/>
      </w:r>
      <w:r>
        <w:rPr>
          <w:rFonts w:cs="Times New Roman" w:eastAsia="Times New Roman"/>
          <w:color w:val="000000"/>
          <w:sz w:val="22"/>
          <w:szCs w:val="22"/>
          <w:lang w:eastAsia="pl-PL"/>
        </w:rPr>
        <w:t>bramy garażowe nowe segmentowe ocieplone z 1 panelem doświetlenia okiennego,             wentylacją w dolnym panelu, ze sterowaniem radiowym (po dwa piloty radiowe) i otwieraniem ręcznym na klucz, wentylacja grawitacyjna;</w:t>
      </w:r>
    </w:p>
    <w:p>
      <w:pPr>
        <w:pStyle w:val="style0"/>
        <w:tabs/>
        <w:spacing w:line="115" w:lineRule="atLeast"/>
        <w:ind w:hanging="343" w:left="329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 </w:t>
      </w:r>
      <w:r>
        <w:rPr>
          <w:rFonts w:cs="Times New Roman" w:eastAsia="Times New Roman"/>
          <w:sz w:val="22"/>
          <w:szCs w:val="22"/>
          <w:lang w:eastAsia="pl-PL"/>
        </w:rPr>
        <w:t>-  warsztat wyposażony w: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podnośnik samochodowy dwukolumnowy np. RAVAGLIOLI KPN 349 WELIK/4000 kg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podnośnik do skrzyń biegów np. RAVAGLIOLI KE10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hydrauliczny żuraw warsztatowy (wyciągarka silników) np. COMPAC model CC10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tłokowa sprężarka powietrzna np. WALTER GK 530-3.0/200 – lub    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wózek warsztatowy z zestawem samochodowych narzędzi monterskich np. Airpress Profesjonalny wózek warsztatowy z wyposażeniem 79156 – lub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system instalacji odsysania spalin np. balansowy wyciąg spalin OBS-P – lub                      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360" w:left="0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przyrząd do pomiaru i regulacji ciśnienia w ogumieniu pojazdu,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przyrząd do kontroli i ustawiania (luxometr) świateł reflektorów samochodowych np. SPIN HL26 z opcją laser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montażownica kół np. HOFMANN Monty 3300 2-SPEED GP z przystawką Easymont Pro/Pax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wyważarka kół np. HOFMANN Geodyna 4500P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tester i ładowarka akumulatorów np. cyfrowa stacja DECA SMART 3300 wyposażona w wózek z półką na baterie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tester akumulatorów samochodowych i instalacji elektrycznej np. MIDTRINICS MDX 655 – lub o identycznych parametrach,</w:t>
      </w:r>
    </w:p>
    <w:p>
      <w:pPr>
        <w:pStyle w:val="style0"/>
        <w:widowControl w:val="false"/>
        <w:numPr>
          <w:ilvl w:val="0"/>
          <w:numId w:val="1"/>
        </w:numPr>
        <w:spacing w:line="115" w:lineRule="atLeast"/>
        <w:ind w:hanging="426" w:left="2127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automat spawalniczy (inwerter) np. DECAMIG 2500 Synergic wraz z wózkiem – lub o identycznych parametrach,</w:t>
      </w:r>
    </w:p>
    <w:p>
      <w:pPr>
        <w:pStyle w:val="style0"/>
        <w:tabs/>
        <w:spacing w:line="115" w:lineRule="atLeast"/>
        <w:ind w:hanging="210" w:left="224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</w:t>
      </w:r>
      <w:r>
        <w:rPr>
          <w:rFonts w:cs="Times New Roman" w:eastAsia="Times New Roman"/>
          <w:sz w:val="22"/>
          <w:szCs w:val="22"/>
          <w:lang w:eastAsia="pl-PL"/>
        </w:rPr>
        <w:t>- myjnia samochodowa wyposażona w separator koalescencyjny oddzielenia środków   ropopochodnych, szczelny osadnik błota i tłuszczów (wielkość i typ wyniknie na etapie obliczeń instalacji sanitarnych) oraz urządzenie czyszczące tj. myjkę wysokociśnieniową (np. typu Kercher HDS 9/18-4M z profesjonalnym zestawem do pianowania EASY FOAM SEAT – lub o identycznych parametrach) i środek czyszczący RM 59 opakowanie 20l. Urządzenie ze spalinowym podgrzewaniem wody oraz pompą zasilaną prądem trójfazowym o mocy przyłącza 6,4 kW – jako urządzenie stacjonarne;</w:t>
      </w:r>
    </w:p>
    <w:p>
      <w:pPr>
        <w:pStyle w:val="style0"/>
        <w:tabs/>
        <w:spacing w:line="115" w:lineRule="atLeast"/>
        <w:ind w:hanging="245" w:left="238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 </w:t>
      </w:r>
      <w:r>
        <w:rPr>
          <w:rFonts w:cs="Times New Roman" w:eastAsia="Times New Roman"/>
          <w:sz w:val="22"/>
          <w:szCs w:val="22"/>
          <w:lang w:eastAsia="pl-PL"/>
        </w:rPr>
        <w:t>-  w obrębie wejścia głównego do budynku należy umiejscowić i trwale zamontować do  postumentu betonowego stojak ze stali nierdzewnej dla rowerów;</w:t>
      </w:r>
    </w:p>
    <w:p>
      <w:pPr>
        <w:pStyle w:val="style0"/>
        <w:tabs/>
        <w:spacing w:line="115" w:lineRule="atLeast"/>
        <w:ind w:hanging="252" w:left="238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</w:t>
      </w:r>
      <w:r>
        <w:rPr>
          <w:rFonts w:cs="Times New Roman" w:eastAsia="Times New Roman"/>
          <w:sz w:val="22"/>
          <w:szCs w:val="22"/>
          <w:lang w:eastAsia="pl-PL"/>
        </w:rPr>
        <w:t>-   maszt antenowy stalowy, rurowy o wys. 16 m z odciągami z lin stalowych, lokalizacja na dachu budynku administracyjnego;</w:t>
      </w:r>
    </w:p>
    <w:p>
      <w:pPr>
        <w:pStyle w:val="style0"/>
        <w:tabs/>
        <w:spacing w:line="115" w:lineRule="atLeast"/>
        <w:ind w:hanging="294" w:left="280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</w:t>
      </w:r>
      <w:r>
        <w:rPr>
          <w:rFonts w:cs="Times New Roman" w:eastAsia="Times New Roman"/>
          <w:sz w:val="22"/>
          <w:szCs w:val="22"/>
          <w:lang w:eastAsia="pl-PL"/>
        </w:rPr>
        <w:t>-  wyposażenie budynku administracyjnego w żaluzje okienne pionowe lub rolety na skrzydła okienne (kolorystyka do uzgodnienia z kierownictwem jednostki);</w:t>
      </w:r>
    </w:p>
    <w:p>
      <w:pPr>
        <w:pStyle w:val="style0"/>
        <w:tabs>
          <w:tab w:leader="none" w:pos="1326" w:val="left"/>
        </w:tabs>
        <w:spacing w:line="115" w:lineRule="atLeast"/>
        <w:ind w:hanging="449" w:left="449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   </w:t>
      </w:r>
      <w:r>
        <w:rPr>
          <w:rFonts w:cs="Times New Roman" w:eastAsia="Times New Roman"/>
          <w:sz w:val="22"/>
          <w:szCs w:val="22"/>
          <w:lang w:eastAsia="pl-PL"/>
        </w:rPr>
        <w:t>-</w:t>
        <w:tab/>
        <w:t xml:space="preserve">    szlaban podnoszony zlokalizowany w bramie wjazdowej sterowany elektrycznie przyciskiem                z pomieszczenia dyżurnego jednostki oraz drogą radiową za pomocą pilotów z samochodów służbowych (około 150 szt. pilotów, w tym jeden do dyspozycji dyżurnego);</w:t>
      </w:r>
    </w:p>
    <w:p>
      <w:pPr>
        <w:pStyle w:val="style0"/>
        <w:tabs>
          <w:tab w:leader="none" w:pos="1641" w:val="left"/>
          <w:tab w:leader="none" w:pos="1655" w:val="left"/>
          <w:tab w:leader="none" w:pos="1725" w:val="left"/>
        </w:tabs>
        <w:spacing w:line="115" w:lineRule="atLeast"/>
        <w:ind w:hanging="568" w:left="568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  </w:t>
      </w:r>
      <w:r>
        <w:rPr>
          <w:rFonts w:cs="Times New Roman" w:eastAsia="Times New Roman"/>
          <w:sz w:val="22"/>
          <w:szCs w:val="22"/>
          <w:lang w:eastAsia="pl-PL"/>
        </w:rPr>
        <w:t>-  przesuwna stalowa brama wjazdowa na posesję sterowana elektrycznie przyciskiem                                z pomieszczenia dyżurnego jednostki oraz elektronicznie po obydwu stronach bramy za pomocą kart zbliżeniowych przypisanych do poszczególnych samochodów służbowych. Brama dodatkowo wyposażona w instalację dzwonkową połączoną z pomieszczeniem dyżurnego;</w:t>
      </w:r>
    </w:p>
    <w:p>
      <w:pPr>
        <w:pStyle w:val="style0"/>
        <w:tabs/>
        <w:spacing w:line="115" w:lineRule="atLeast"/>
        <w:ind w:hanging="35" w:left="554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</w:t>
      </w:r>
      <w:r>
        <w:rPr>
          <w:rFonts w:cs="Times New Roman" w:eastAsia="Times New Roman"/>
          <w:sz w:val="22"/>
          <w:szCs w:val="22"/>
          <w:lang w:eastAsia="pl-PL"/>
        </w:rPr>
        <w:t>- kompletne systemy instalacji elektrycznych: monitoringu wizyjnego wewnętrznego                      i zewnętrznego, kontroli dostępu, napadu, kontroli przeciwpożarowej wraz z dźwiękowym systemem ostrzegawczym, system łączności radiowej oraz  system oddymiania klatek schodowych wraz z centralą sterującą, kompletną instalację elektryczną oraz sieć strukturalną;</w:t>
      </w:r>
    </w:p>
    <w:p>
      <w:pPr>
        <w:pStyle w:val="style0"/>
        <w:tabs/>
        <w:spacing w:line="115" w:lineRule="atLeast"/>
        <w:ind w:hanging="1418" w:left="659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         </w:t>
      </w:r>
      <w:r>
        <w:rPr>
          <w:rFonts w:cs="Times New Roman" w:eastAsia="Times New Roman"/>
          <w:sz w:val="22"/>
          <w:szCs w:val="22"/>
          <w:lang w:eastAsia="pl-PL"/>
        </w:rPr>
        <w:t>- kompletne systemy instalacji sanitarnych: instalacji centralnego ogrzewania z węzłem wymiennikowym czynnika zewnętrzego z sieci miejskiej, instalacji mechanicznej wentylacji, instalacji wody zimnej i ciepłej c.w.u.</w:t>
      </w:r>
      <w:bookmarkStart w:id="0" w:name="_GoBack"/>
      <w:bookmarkEnd w:id="0"/>
      <w:r>
        <w:rPr>
          <w:rFonts w:cs="Times New Roman" w:eastAsia="Times New Roman"/>
          <w:sz w:val="22"/>
          <w:szCs w:val="22"/>
          <w:lang w:eastAsia="pl-PL"/>
        </w:rPr>
        <w:t>, instalacji kanalizacji sanitarnych;</w:t>
      </w:r>
    </w:p>
    <w:p>
      <w:pPr>
        <w:pStyle w:val="style0"/>
        <w:widowControl w:val="false"/>
        <w:tabs/>
        <w:spacing w:line="115" w:lineRule="atLeast"/>
        <w:ind w:hanging="792" w:left="792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 xml:space="preserve">             </w:t>
      </w:r>
      <w:r>
        <w:rPr>
          <w:rFonts w:cs="Times New Roman" w:eastAsia="Times New Roman"/>
          <w:sz w:val="22"/>
          <w:szCs w:val="22"/>
          <w:lang w:eastAsia="pl-PL"/>
        </w:rPr>
        <w:t>-</w:t>
        <w:tab/>
        <w:t xml:space="preserve"> n</w:t>
      </w:r>
      <w:r>
        <w:rPr>
          <w:rFonts w:cs="Times New Roman" w:eastAsia="Arial Unicode MS"/>
          <w:sz w:val="22"/>
          <w:szCs w:val="22"/>
        </w:rPr>
        <w:t>a elewacji budynku administracyjnego należy przewidzieć umiejscowienie podświetlanego napisu „POLICJA” z logo w układzie poziomym oraz usytuowanie przed wejściem głównym do budynku na postumencie betonowym – podświetlanego stojącego pylonu o wysokości 300 cm z napisem „POLICJA” z logo oraz napisem „Komenda Miejska Policji w Dąbrowie Górniczej, zgodnie z wytycznymi zawartymi w Księdze znaku i  elementów identyfikacji wizualnej Komend i Komisariatów Policji  z czerwca 2013r.</w:t>
      </w:r>
    </w:p>
    <w:p>
      <w:pPr>
        <w:pStyle w:val="style0"/>
        <w:widowControl w:val="false"/>
        <w:tabs/>
        <w:spacing w:line="115" w:lineRule="atLeast"/>
        <w:ind w:hanging="0" w:left="680" w:right="0"/>
        <w:jc w:val="both"/>
      </w:pPr>
      <w:r>
        <w:rPr>
          <w:rFonts w:cs="Times New Roman" w:eastAsia="Times New Roman"/>
          <w:sz w:val="22"/>
          <w:szCs w:val="22"/>
          <w:lang w:eastAsia="pl-PL"/>
        </w:rPr>
        <w:t>- pozostałe elementy wyposażenia stałego zawarte w Programie Funkcjonalno-Użytkowym oraz te, które wynikną jako nowe w procesie projektowania, których nie można przewidzieć              w chwili obecnej.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5.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w garażach instalacja c.o. oraz oświetlenie podlega wymianie wraz z przyłączem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W garażach instalacja c.o. oraz oświetlenie podlega wymianie wraz z przyłączem.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6.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 jest zakres likwidacji budynku po stacji paliw. Czy zbiorniki paliwa będą podlegały usunięciu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Budynek po stacji paliw nie ulega likwidacji. Zbiorniki paliwa nie podlegają usunięciu.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7.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Zamawiający posiada plan zagospodarowania przestrzennego dla obiektu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Zamawiający nie posiada planu zagospodarowania przestrzennego dla obiektu.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8.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wymianie podlegają parapety zewnętrzne, wewnętrzne i obróbki blacharskie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W istniejącym budynku parapety zewnętrzne nie podlegają wymianie, parapety wewnętrzne wykonane są z lastrika, na które należy zamontować nakładki z tworzywa sztucznego. Wymianie podlegają obróbki blacharskie przy wymianie pokrycia dachu.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9.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 jest zakres remontu istniejącej elewacji.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Istniejącą elewację należy oczyścić i pomalować.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10.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całość stolarki drzwiowej wewnętrznej i zewnętrznej oraz ślusarki podlega wymianie.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Zamawiający zakłada, iż w istniejącym budynku wymianie podlegać będzie 90 % stolarki drzwiowej wewnętrznej i zewnętrznej oraz ślusarki.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11.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Jakie czynności trzeba podjąć w przypadku dostosowania obiektu do aktualnych przepisów p.poż. oraz ewakuacyjnych ? Czy konieczność wykonania ekspertyzy pożarowej jest podstawą do przesunięcia terminu wykonania zadania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Dostosowanie obiektu do aktualnych przepisów p.poż i ewakuacyjnych należy uzgodnić na etapie projektowania z rzeczoznawcą ds. p.poż.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Konieczność wykonania ekspertyzy pożarowej nie jest podstawą do przesunięcia terminu wykonania zadania.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12.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 jest zakres remontu instalacji c.o., elektrycznych, słaboprądowych (LAN, CCTV itp.) w istniejącym budynku.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Remont instalacji c.o. obejmuje modernizację węzła cieplnego, wymianę całej instalacji wraz z grzejnikami. Remont instalacji elektrycznej obejmuje wymianę instalacji w całości. Remont instalacji LAN (sieć komputerowa i sieć zasilania dedykowanego) obejmuje m.in.:</w:t>
      </w:r>
    </w:p>
    <w:p>
      <w:pPr>
        <w:pStyle w:val="style0"/>
        <w:numPr>
          <w:ilvl w:val="0"/>
          <w:numId w:val="2"/>
        </w:numPr>
        <w:spacing w:line="115" w:lineRule="atLeast"/>
        <w:jc w:val="both"/>
      </w:pPr>
      <w:r>
        <w:rPr>
          <w:sz w:val="22"/>
          <w:szCs w:val="22"/>
        </w:rPr>
        <w:t>rozbudowa sieci LAN tak, aby na każde stanowisko pracy biurowej przypadał jeden punkt elektryczno-logiczny kat. 6, U/UTP składający się z: 3xRJ-45+2x230V (gniazda 230V typu DATA); w pomieszczeniu dyżurnego należy zainstalować 10 punktów elektryczno-logicznych kat. 6, U/UTP składających się z: 3xRJ-45+2x230V (gniazda 230V typu DATA).</w:t>
      </w:r>
    </w:p>
    <w:p>
      <w:pPr>
        <w:pStyle w:val="style0"/>
        <w:numPr>
          <w:ilvl w:val="0"/>
          <w:numId w:val="2"/>
        </w:numPr>
        <w:spacing w:line="115" w:lineRule="atLeast"/>
        <w:jc w:val="both"/>
      </w:pPr>
      <w:r>
        <w:rPr>
          <w:sz w:val="22"/>
          <w:szCs w:val="22"/>
        </w:rPr>
        <w:t>cała sieć zasilania dedykowanego (nowa oraz istniejąca część obiektu) ma być podłączona do zasilacz UPS modułowego 10 lub 20 kVA, klasy VFI SS 111 zgodnego z systemem zarządzania zainstalowanym w KWP w Katowicach oraz zespołu spalinowo-elektrycznego. Czas autonomii (podtrzymania bateryjnego) dla pełnego obciążenia zasilacza UPS powinien w tym wypadku wynosić conajmniej 30min.</w:t>
      </w:r>
    </w:p>
    <w:p>
      <w:pPr>
        <w:pStyle w:val="style0"/>
        <w:numPr>
          <w:ilvl w:val="0"/>
          <w:numId w:val="2"/>
        </w:numPr>
        <w:spacing w:line="115" w:lineRule="atLeast"/>
        <w:jc w:val="both"/>
      </w:pPr>
      <w:r>
        <w:rPr>
          <w:sz w:val="22"/>
          <w:szCs w:val="22"/>
        </w:rPr>
        <w:t>do zasilacza UPS powinny być podłączone wszystkie systemy odpowiadające za bezpieczeństwo budynku oraz bezprzestojową pracę stanowiska kierowania (dyżurny)</w:t>
      </w:r>
    </w:p>
    <w:p>
      <w:pPr>
        <w:pStyle w:val="style0"/>
        <w:numPr>
          <w:ilvl w:val="0"/>
          <w:numId w:val="2"/>
        </w:numPr>
        <w:spacing w:line="115" w:lineRule="atLeast"/>
        <w:jc w:val="both"/>
      </w:pPr>
      <w:r>
        <w:rPr>
          <w:sz w:val="22"/>
          <w:szCs w:val="22"/>
        </w:rPr>
        <w:t>wymiana systemu monitoringu CCTV na system monitoringu IP</w:t>
      </w:r>
    </w:p>
    <w:p>
      <w:pPr>
        <w:pStyle w:val="style0"/>
        <w:numPr>
          <w:ilvl w:val="0"/>
          <w:numId w:val="2"/>
        </w:numPr>
        <w:spacing w:line="115" w:lineRule="atLeast"/>
        <w:jc w:val="both"/>
      </w:pPr>
      <w:r>
        <w:rPr>
          <w:sz w:val="22"/>
          <w:szCs w:val="22"/>
        </w:rPr>
        <w:t>rozbudowa lub wymiana na jednolity systemu kontroli dostępu SKD</w:t>
      </w:r>
    </w:p>
    <w:p>
      <w:pPr>
        <w:pStyle w:val="style0"/>
        <w:numPr>
          <w:ilvl w:val="0"/>
          <w:numId w:val="2"/>
        </w:numPr>
        <w:spacing w:line="115" w:lineRule="atLeast"/>
        <w:jc w:val="both"/>
      </w:pPr>
      <w:r>
        <w:rPr>
          <w:sz w:val="22"/>
          <w:szCs w:val="22"/>
        </w:rPr>
        <w:t>rozbudowa lub wymiana na jednolity systemu SSWiN, domofonów, itp.</w:t>
      </w:r>
    </w:p>
    <w:p>
      <w:pPr>
        <w:pStyle w:val="style0"/>
        <w:numPr>
          <w:ilvl w:val="0"/>
          <w:numId w:val="2"/>
        </w:numPr>
        <w:spacing w:line="115" w:lineRule="atLeast"/>
        <w:jc w:val="both"/>
      </w:pPr>
      <w:r>
        <w:rPr>
          <w:sz w:val="22"/>
          <w:szCs w:val="22"/>
        </w:rPr>
        <w:t>należy stosować się do wytycznych zawartych w PFU oraz „Wytycznych nr 3 Komendanta Głównego Policji z dnia 30 lipca 2013 roku w sprawie standardów technicznych, funkcjonalnych i użytkowych obowiązujących w obiektach służbowych Policji"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13.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w obiekcie ma być zainstalowany system BMS. Proszę określić ewentualne założenia dla takiego systemu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W obiekcie nie przewiduje się systemu BMS.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14.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Jakie parametry przy ewentualnej wymianie drzwi wewnętrznych w istniejącym obiekcie powinny być spełnione (parametry akustyczne).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Przy wymianie drzwi wewnętrznych w istniejącym obiekcie ościeżnice oraz skrzydła powinny posiadać zwiększoną izolacyjność akustyczną ok. 37 dB.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15.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 podejść do elementów wykończenia będących w sprzeczności z aktualnymi standardami, a pozostających w dobrym stanie technicznym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Elementy wykończenia będące w sprzeczności z aktualnymi standardami, a pozostającymi w dobrym stanie technicznym należy uzgodnić z Zamawiającym na etapie projektowania.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16.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 jest zakres wymiany posadzek ? Czy samo wykończenie, czy również izolacja i wylewka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Posadzki ulegają wymianie w całości. Jeżeli w czasie demontażu posadzek okaże się, że warstwy podłogowe są uszkodzone wówczas należy je wymienić.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17.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 jest zakres remontu w odniesieniu do istniejących klimatyzatorów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Zamawiający wymaga zaprojektowania w pomieszczeniach teleinformatyki (serwerownia, Centralny Punkt Dystrybucyjny, Lokalny Punkt Dystrybucyjny, Węzeł Zasilania Gwarantowanego – UPS, itp. ) klimatyzacji precyzyjnej utrzymującej stałą temperaturę i wilgotność powietrza, redundantnej. Wymagania te dotyczą wszystkich pomieszczeń IT zarówno w nowej, jak i dotychczasowej części obiektu.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18.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Jaki jest zakres remontu dachów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Remont obejmuje całą powierzchnię dachu wraz z obróbkami blacharskimi budynku istniejącego.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19.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jest wymagana zabudowa grzejników c.o.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Zabudowa grzejników c.o. nie jest wymagana.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Pytanie 20.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Czy roboty budowlane wynikające z ekspertyzy pożarowej będą uznane jako roboty dodatkowe ?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>Odpowiedź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>Roboty budowlane wynikające z ekspertyzy pożarowej nie będą uznane jako roboty dodatkowe.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after="0" w:before="0" w:line="115" w:lineRule="atLeast"/>
        <w:ind w:firstLine="708" w:left="0" w:right="0"/>
        <w:contextualSpacing w:val="false"/>
        <w:jc w:val="both"/>
      </w:pPr>
      <w:r>
        <w:rPr>
          <w:sz w:val="22"/>
          <w:szCs w:val="22"/>
        </w:rPr>
        <w:t xml:space="preserve">Jednocześnie Komenda Wojewódzka Policji w Katowicach informuje, iż zgodnie z art. 38 ust. 6 oraz art.  38 ust. 1 pkt. 1 ustawy Prawo Zamówień Publicznych </w:t>
      </w:r>
      <w:r>
        <w:rPr>
          <w:sz w:val="22"/>
          <w:szCs w:val="22"/>
        </w:rPr>
        <w:t xml:space="preserve">przesuwa termin składania ofert na dzień 21.11.2013 r. na godzinę </w:t>
      </w:r>
      <w:r>
        <w:rPr>
          <w:sz w:val="22"/>
          <w:szCs w:val="22"/>
          <w:u w:val="none"/>
        </w:rPr>
        <w:t>13</w:t>
      </w:r>
      <w:r>
        <w:rPr>
          <w:position w:val="0"/>
          <w:sz w:val="24"/>
          <w:sz w:val="22"/>
          <w:szCs w:val="22"/>
          <w:u w:val="none"/>
          <w:vertAlign w:val="baseline"/>
        </w:rPr>
        <w:t>:00</w:t>
      </w:r>
      <w:r>
        <w:rPr>
          <w:sz w:val="22"/>
          <w:szCs w:val="22"/>
        </w:rPr>
        <w:t xml:space="preserve"> tym samym otwarcie ofert odbędzie się w dniu 21.11.2013r. o godzinie 13:</w:t>
      </w:r>
      <w:r>
        <w:rPr>
          <w:position w:val="0"/>
          <w:sz w:val="24"/>
          <w:sz w:val="22"/>
          <w:szCs w:val="22"/>
          <w:u w:val="none"/>
          <w:vertAlign w:val="baseline"/>
        </w:rPr>
        <w:t>30</w:t>
      </w:r>
      <w:r>
        <w:rPr>
          <w:rFonts w:eastAsia="Arial Unicode MS"/>
          <w:position w:val="0"/>
          <w:sz w:val="24"/>
          <w:sz w:val="22"/>
          <w:szCs w:val="22"/>
          <w:u w:val="none"/>
          <w:vertAlign w:val="baseline"/>
        </w:rPr>
        <w:t>.</w:t>
      </w:r>
      <w:r>
        <w:rPr>
          <w:rFonts w:eastAsia="Arial Unicode MS"/>
          <w:sz w:val="22"/>
          <w:szCs w:val="22"/>
          <w:u w:val="none"/>
          <w:vertAlign w:val="superscript"/>
        </w:rPr>
        <w:t xml:space="preserve"> </w:t>
      </w:r>
      <w:r>
        <w:rPr>
          <w:rFonts w:eastAsia="Arial Unicode MS"/>
          <w:sz w:val="22"/>
          <w:szCs w:val="22"/>
        </w:rPr>
        <w:t>Ponadto ulega zmianie termin składania wadium. Wadium należy złożyć najpóźniej do dnia 21.11.2013 r. do godziny 13</w:t>
      </w:r>
      <w:r>
        <w:rPr>
          <w:rFonts w:eastAsia="Arial Unicode MS"/>
          <w:position w:val="0"/>
          <w:sz w:val="24"/>
          <w:sz w:val="22"/>
          <w:szCs w:val="22"/>
          <w:u w:val="none"/>
          <w:vertAlign w:val="baseline"/>
        </w:rPr>
        <w:t>:00.</w:t>
      </w:r>
    </w:p>
    <w:p>
      <w:pPr>
        <w:pStyle w:val="style31"/>
        <w:spacing w:after="0" w:before="0" w:line="115" w:lineRule="atLeast"/>
        <w:ind w:firstLine="708" w:left="0" w:right="0"/>
        <w:contextualSpacing w:val="false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Nadmieniam, że w związku z powyższym dokonano zmiany ogłoszenia o zamówieniu                        w zakresie wadium, terminu składania i otwarcia ofert, a zmiana ogłoszenia została przekazana </w:t>
      </w:r>
      <w:r>
        <w:rPr>
          <w:iCs/>
          <w:sz w:val="22"/>
          <w:szCs w:val="22"/>
        </w:rPr>
        <w:t>Urz</w:t>
      </w:r>
      <w:r>
        <w:rPr>
          <w:sz w:val="22"/>
          <w:szCs w:val="22"/>
        </w:rPr>
        <w:t>ę</w:t>
      </w:r>
      <w:r>
        <w:rPr>
          <w:iCs/>
          <w:sz w:val="22"/>
          <w:szCs w:val="22"/>
        </w:rPr>
        <w:t xml:space="preserve">dowi Publikacji Unii Europejskiej </w:t>
      </w:r>
      <w:r>
        <w:rPr>
          <w:sz w:val="22"/>
          <w:szCs w:val="22"/>
        </w:rPr>
        <w:t>i niezwłocznie po opublikowaniu w Dzienniku Urzędowym Unii Europejskiej zostanie umieszczona na stronie internetowej Zamawiającego.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  <w:u w:val="single"/>
        </w:rPr>
        <w:t xml:space="preserve">wyk. w 1 egz. </w:t>
      </w:r>
    </w:p>
    <w:p>
      <w:pPr>
        <w:pStyle w:val="style0"/>
        <w:spacing w:line="115" w:lineRule="atLeast"/>
        <w:jc w:val="both"/>
      </w:pPr>
      <w:r>
        <w:rPr>
          <w:sz w:val="22"/>
          <w:szCs w:val="22"/>
        </w:rPr>
        <w:t xml:space="preserve">umieszczono na stronie internetowej Zamawiającego </w:t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line="115" w:lineRule="atLeast"/>
        <w:jc w:val="both"/>
      </w:pPr>
      <w:r>
        <w:rPr/>
      </w:r>
    </w:p>
    <w:p>
      <w:pPr>
        <w:pStyle w:val="style0"/>
        <w:spacing w:after="200" w:before="0" w:line="115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26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1429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4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Times New Roman" w:cs="Calibri" w:eastAsia="SimSun" w:hAnsi="Times New Roman"/>
      <w:color w:val="00000A"/>
      <w:sz w:val="24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Symbole wypunktowania"/>
    <w:next w:val="style17"/>
    <w:rPr>
      <w:rFonts w:ascii="OpenSymbol" w:cs="OpenSymbol" w:eastAsia="OpenSymbol" w:hAnsi="OpenSymbol"/>
    </w:rPr>
  </w:style>
  <w:style w:styleId="style18" w:type="character">
    <w:name w:val="ListLabel 2"/>
    <w:next w:val="style18"/>
    <w:rPr>
      <w:rFonts w:cs="Wingdings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Symbol"/>
    </w:rPr>
  </w:style>
  <w:style w:styleId="style21" w:type="character">
    <w:name w:val="ListLabel 5"/>
    <w:next w:val="style21"/>
    <w:rPr>
      <w:rFonts w:cs="OpenSymbol"/>
    </w:rPr>
  </w:style>
  <w:style w:styleId="style22" w:type="character">
    <w:name w:val="ListLabel 6"/>
    <w:next w:val="style22"/>
    <w:rPr>
      <w:rFonts w:cs="Wingdings"/>
    </w:rPr>
  </w:style>
  <w:style w:styleId="style23" w:type="character">
    <w:name w:val="ListLabel 7"/>
    <w:next w:val="style23"/>
    <w:rPr>
      <w:rFonts w:cs="Courier New"/>
    </w:rPr>
  </w:style>
  <w:style w:styleId="style24" w:type="character">
    <w:name w:val="ListLabel 8"/>
    <w:next w:val="style24"/>
    <w:rPr>
      <w:rFonts w:cs="Symbol"/>
    </w:rPr>
  </w:style>
  <w:style w:styleId="style25" w:type="character">
    <w:name w:val="ListLabel 9"/>
    <w:next w:val="style25"/>
    <w:rPr>
      <w:rFonts w:cs="OpenSymbol"/>
    </w:rPr>
  </w:style>
  <w:style w:styleId="style26" w:type="paragraph">
    <w:name w:val="Nagłówek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Podpis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Mangal"/>
    </w:rPr>
  </w:style>
  <w:style w:styleId="style31" w:type="paragraph">
    <w:name w:val="Wcięcie tekstu"/>
    <w:basedOn w:val="style0"/>
    <w:next w:val="style31"/>
    <w:pPr>
      <w:spacing w:after="120" w:before="0"/>
      <w:ind w:hanging="0" w:left="283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LibreOffice/3.6$Windows_x86 LibreOffice_project/932b512-69e3009-7a10e5c-fc86223-a55908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2013-09-30T07:23:00.00Z</dcterms:created>
  <dc:creator>user</dc:creator>
  <cp:lastModifiedBy>user</cp:lastModifiedBy>
  <cp:lastPrinted>2013-11-14T12:31:50.40Z</cp:lastPrinted>
  <dcterms:modified xsi:type="dcterms:W3CDTF">2013-10-31T13:26:00.00Z</dcterms:modified>
  <cp:revision>19</cp:revision>
</cp:coreProperties>
</file>