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5505" w:type="dxa"/>
        <w:jc w:val="left"/>
        <w:tblInd w:w="-749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449"/>
        <w:gridCol w:w="5687"/>
        <w:gridCol w:w="670"/>
        <w:gridCol w:w="1419"/>
        <w:gridCol w:w="929"/>
        <w:gridCol w:w="1705"/>
        <w:gridCol w:w="2"/>
        <w:gridCol w:w="1921"/>
        <w:gridCol w:w="1473"/>
        <w:gridCol w:w="1248"/>
      </w:tblGrid>
      <w:tr>
        <w:trPr>
          <w:tblHeader w:val="true"/>
          <w:trHeight w:val="546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asortymentu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Stawka podatku VAT podana w %</w:t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23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 (3x6)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Model</w:t>
            </w:r>
          </w:p>
        </w:tc>
      </w:tr>
      <w:tr>
        <w:trPr>
          <w:trHeight w:val="245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923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Gwka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Fotel obrotowy profilowany</w:t>
            </w:r>
          </w:p>
          <w:p>
            <w:pPr>
              <w:pStyle w:val="Gwka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Fotel wyposażony w mechanizm ruchowy Synchro,(polegający na równoczesnym ruchu „bujaniu się” oparcia i siedziska) z możliwością blokady w każdej wybranej pozycji, podłokietniki o regulowanej wysokości, płynnie regulowana wysokość siedziska, stalowa chromowana trwała podstawa jezdna, obszerne, wygodne siedzisko-szer. ok.49cm, gł. ok.48cm, oparcie wys. ok. 58 cm,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2"/>
                <w:szCs w:val="22"/>
                <w:lang w:eastAsia="pl-PL" w:bidi="ar-SA"/>
              </w:rPr>
              <w:t>k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2"/>
                <w:szCs w:val="22"/>
                <w:lang w:val="en-US" w:eastAsia="pl-PL" w:bidi="ar-SA"/>
              </w:rPr>
              <w:t>ó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2"/>
                <w:szCs w:val="22"/>
                <w:lang w:eastAsia="pl-PL" w:bidi="ar-SA"/>
              </w:rPr>
              <w:t xml:space="preserve">łka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2"/>
                <w:szCs w:val="22"/>
                <w:lang w:eastAsia="pl-PL" w:bidi="ar-SA"/>
              </w:rPr>
              <w:t>miękkie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2"/>
                <w:szCs w:val="22"/>
                <w:lang w:eastAsia="pl-PL" w:bidi="ar-SA"/>
              </w:rPr>
              <w:t xml:space="preserve">  (kauczuk, silikon) do parkietów, paneli </w:t>
              <w:br/>
              <w:t>i twardych powierzchni (płytki) ograniczające ich zużycie.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Obciążenie min. 120 kg.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val="pl-PL" w:eastAsia="pl-PL" w:bidi="pl-PL"/>
              </w:rPr>
              <w:t xml:space="preserve">Klasyfikacja ogniowa w zakresie wydzielania toksycznych produktów spalania wg kryterium normy PN-88/B-02855.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kolor: czarny</w:t>
            </w:r>
          </w:p>
          <w:p>
            <w:pPr>
              <w:pStyle w:val="Gwka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em w:val="none"/>
                <w:lang w:val="pl-PL" w:eastAsia="pl-PL" w:bidi="pl-PL"/>
              </w:rPr>
              <w:t>rozwiązanie poglądowe:</w:t>
            </w:r>
          </w:p>
          <w:p>
            <w:pPr>
              <w:pStyle w:val="Gwka"/>
              <w:spacing w:lineRule="auto" w:line="240"/>
              <w:jc w:val="left"/>
              <w:rPr>
                <w:rFonts w:eastAsia="Liberation Serif;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pPr>
            <w:r>
              <w:rPr>
                <w:rFonts w:eastAsia="Liberation Serif;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r>
          </w:p>
          <w:p>
            <w:pPr>
              <w:pStyle w:val="Gwka"/>
              <w:spacing w:lineRule="auto" w:line="240"/>
              <w:jc w:val="left"/>
              <w:rPr>
                <w:rFonts w:eastAsia="Liberation Serif;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pPr>
            <w:r>
              <w:rPr>
                <w:rFonts w:eastAsia="Liberation Serif;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r>
          </w:p>
          <w:p>
            <w:pPr>
              <w:pStyle w:val="Gwka"/>
              <w:spacing w:lineRule="auto" w:line="240"/>
              <w:jc w:val="left"/>
              <w:rPr>
                <w:rFonts w:eastAsia="Liberation Serif;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pPr>
            <w:r>
              <w:rPr>
                <w:rFonts w:eastAsia="Liberation Serif;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r>
          </w:p>
          <w:p>
            <w:pPr>
              <w:pStyle w:val="Gwka"/>
              <w:spacing w:lineRule="auto" w:line="240"/>
              <w:jc w:val="left"/>
              <w:rPr>
                <w:rFonts w:eastAsia="Liberation Serif;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pPr>
            <w:r>
              <w:rPr>
                <w:rFonts w:eastAsia="Liberation Serif;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r>
          </w:p>
          <w:p>
            <w:pPr>
              <w:pStyle w:val="Gwka"/>
              <w:spacing w:lineRule="auto" w:line="240"/>
              <w:jc w:val="left"/>
              <w:rPr>
                <w:rFonts w:eastAsia="Liberation Serif;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pPr>
            <w:r>
              <w:rPr>
                <w:rFonts w:eastAsia="Liberation Serif;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r>
          </w:p>
          <w:p>
            <w:pPr>
              <w:pStyle w:val="Gwka"/>
              <w:spacing w:lineRule="auto" w:line="240"/>
              <w:jc w:val="left"/>
              <w:rPr>
                <w:rFonts w:eastAsia="Liberation Serif;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pPr>
            <w:r>
              <w:rPr>
                <w:rFonts w:eastAsia="Liberation Serif;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r>
          </w:p>
          <w:p>
            <w:pPr>
              <w:pStyle w:val="Gwka"/>
              <w:spacing w:lineRule="auto" w:line="240"/>
              <w:jc w:val="left"/>
              <w:rPr>
                <w:rFonts w:eastAsia="Liberation Serif;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pPr>
            <w:r>
              <w:rPr>
                <w:rFonts w:eastAsia="Liberation Serif;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r>
          </w:p>
          <w:p>
            <w:pPr>
              <w:pStyle w:val="Gwka"/>
              <w:spacing w:lineRule="auto" w:line="240"/>
              <w:jc w:val="left"/>
              <w:rPr>
                <w:rFonts w:eastAsia="Liberation Serif;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pPr>
            <w:r>
              <w:rPr>
                <w:rFonts w:eastAsia="Liberation Serif;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u w:val="none"/>
                <w:em w:val="none"/>
                <w:lang w:val="pl-PL" w:eastAsia="pl-PL" w:bidi="pl-PL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125730</wp:posOffset>
                  </wp:positionV>
                  <wp:extent cx="1511300" cy="212280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7" t="-39" r="-57" b="-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/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3 szt.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23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61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eastAsia="Liberation Serif;Times New Roman" w:cs="Times New Roman"/>
                <w:sz w:val="22"/>
                <w:szCs w:val="22"/>
              </w:rPr>
            </w:pPr>
            <w:r>
              <w:rPr>
                <w:rFonts w:eastAsia="Liberation Serif;Times New Roman" w:cs="Times New Roman"/>
                <w:sz w:val="22"/>
                <w:szCs w:val="22"/>
              </w:rPr>
            </w:r>
          </w:p>
          <w:p>
            <w:pPr>
              <w:pStyle w:val="NormalnyWeb"/>
              <w:spacing w:lineRule="auto" w:line="240" w:before="0" w:after="0"/>
              <w:jc w:val="center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bookmarkStart w:id="0" w:name="__DdeLink__333_779725001"/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Cena ofertowa brutto (Suma pozycji):</w:t>
            </w:r>
            <w:bookmarkEnd w:id="0"/>
          </w:p>
        </w:tc>
        <w:tc>
          <w:tcPr>
            <w:tcW w:w="4642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………………………………</w:t>
            </w: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. brutto</w:t>
            </w:r>
          </w:p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</w:t>
        <w:tab/>
        <w:tab/>
        <w:tab/>
        <w:tab/>
        <w:t xml:space="preserve">  </w:t>
      </w:r>
      <w:bookmarkStart w:id="1" w:name="__DdeLink__177_2591484163"/>
      <w:r>
        <w:rPr>
          <w:rFonts w:ascii="Times New Roman" w:hAnsi="Times New Roman"/>
          <w:sz w:val="22"/>
          <w:szCs w:val="22"/>
        </w:rPr>
        <w:t xml:space="preserve">  …....................................................................…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</w:t>
        <w:tab/>
        <w:tab/>
        <w:tab/>
        <w:tab/>
        <w:t xml:space="preserve">   pieczęć i podpis lub czytelny osoby uprawnionej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</w:t>
        <w:tab/>
        <w:tab/>
        <w:tab/>
        <w:tab/>
        <w:t xml:space="preserve">  składania oświadczeń woli w imieniu Wykonawcy</w:t>
      </w:r>
      <w:bookmarkEnd w:id="1"/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header="708" w:top="1267" w:footer="283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before="0" w:after="120"/>
      <w:ind w:left="360" w:right="0" w:hanging="0"/>
      <w:jc w:val="center"/>
      <w:rPr/>
    </w:pPr>
    <w:r>
      <w:rPr/>
    </w:r>
  </w:p>
  <w:p>
    <w:pPr>
      <w:pStyle w:val="Tretekstu"/>
      <w:spacing w:before="0" w:after="120"/>
      <w:ind w:left="360" w:right="0" w:hanging="0"/>
      <w:jc w:val="center"/>
      <w:rPr/>
    </w:pPr>
    <w:r>
      <w:rPr>
        <w:rFonts w:cs="Times New Roman"/>
        <w:sz w:val="20"/>
      </w:rPr>
      <w:fldChar w:fldCharType="begin"/>
    </w:r>
    <w:r>
      <w:rPr>
        <w:sz w:val="20"/>
        <w:rFonts w:cs="Times New Roman"/>
      </w:rPr>
      <w:instrText> PAGE </w:instrText>
    </w:r>
    <w:r>
      <w:rPr>
        <w:sz w:val="20"/>
        <w:rFonts w:cs="Times New Roman"/>
      </w:rPr>
      <w:fldChar w:fldCharType="separate"/>
    </w:r>
    <w:r>
      <w:rPr>
        <w:sz w:val="20"/>
        <w:rFonts w:cs="Times New Roman"/>
      </w:rPr>
      <w:t>2</w:t>
    </w:r>
    <w:r>
      <w:rPr>
        <w:sz w:val="20"/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Web"/>
      <w:spacing w:lineRule="auto" w:line="240" w:before="0" w:after="0"/>
      <w:jc w:val="left"/>
      <w:rPr/>
    </w:pPr>
    <w:r>
      <w:rPr>
        <w:sz w:val="20"/>
        <w:szCs w:val="20"/>
      </w:rPr>
      <w:t>ZP-2380-461-85/2018</w:t>
      <w:tab/>
      <w:tab/>
      <w:tab/>
      <w:tab/>
      <w:tab/>
      <w:tab/>
      <w:tab/>
      <w:tab/>
      <w:tab/>
      <w:tab/>
      <w:tab/>
      <w:tab/>
      <w:tab/>
      <w:tab/>
      <w:t>Załącznik nr 3 do SIWZ</w:t>
    </w:r>
  </w:p>
  <w:p>
    <w:pPr>
      <w:pStyle w:val="NormalnyWeb"/>
      <w:spacing w:lineRule="auto" w:line="240" w:before="0" w:after="0"/>
      <w:jc w:val="left"/>
      <w:rPr>
        <w:rFonts w:ascii="Times New Roman" w:hAnsi="Times New Roman"/>
        <w:sz w:val="20"/>
        <w:szCs w:val="20"/>
      </w:rPr>
    </w:pPr>
    <w:r>
      <w:rPr>
        <w:sz w:val="20"/>
        <w:szCs w:val="20"/>
      </w:rPr>
    </w:r>
  </w:p>
  <w:p>
    <w:pPr>
      <w:pStyle w:val="NormalnyWeb"/>
      <w:spacing w:lineRule="auto" w:line="240" w:before="0" w:after="0"/>
      <w:jc w:val="center"/>
      <w:rPr/>
    </w:pPr>
    <w:r>
      <w:rPr>
        <w:b/>
        <w:bCs/>
        <w:sz w:val="22"/>
        <w:szCs w:val="22"/>
        <w:u w:val="single"/>
      </w:rPr>
      <w:t>Formularz cenowy do zadania nr 2</w:t>
    </w:r>
  </w:p>
  <w:p>
    <w:pPr>
      <w:pStyle w:val="NormalnyWeb"/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>
        <w:sz w:val="20"/>
        <w:szCs w:val="20"/>
      </w:rPr>
    </w:r>
  </w:p>
  <w:p>
    <w:pPr>
      <w:pStyle w:val="Gwka"/>
      <w:jc w:val="center"/>
      <w:rPr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Siedziska dla </w:t>
    </w:r>
    <w:r>
      <w:rPr>
        <w:rFonts w:cs="Times New Roman" w:ascii="Times New Roman" w:hAnsi="Times New Roman"/>
        <w:b/>
        <w:bCs/>
        <w:sz w:val="20"/>
        <w:szCs w:val="20"/>
      </w:rPr>
      <w:t>KMP Żory z dostawą:</w:t>
    </w:r>
  </w:p>
  <w:p>
    <w:pPr>
      <w:pStyle w:val="Normal"/>
      <w:jc w:val="center"/>
      <w:rPr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KMP Żory z dostawą:</w:t>
    </w:r>
  </w:p>
  <w:p>
    <w:pPr>
      <w:pStyle w:val="Gwka"/>
      <w:bidi w:val="0"/>
      <w:ind w:left="720" w:right="0" w:hanging="0"/>
      <w:jc w:val="center"/>
      <w:rPr>
        <w:rFonts w:ascii="Times New Roman" w:hAnsi="Times New Roman" w:eastAsia="Times New Roman" w:cs="Times New Roman"/>
        <w:b/>
        <w:b/>
        <w:bCs/>
        <w:i w:val="false"/>
        <w:i w:val="false"/>
        <w:iCs w:val="false"/>
        <w:strike w:val="false"/>
        <w:dstrike w:val="false"/>
        <w:outline w:val="false"/>
        <w:shadow w:val="false"/>
        <w:color w:val="000000"/>
        <w:sz w:val="20"/>
        <w:szCs w:val="20"/>
        <w:u w:val="none"/>
        <w:em w:val="none"/>
      </w:rPr>
    </w:pPr>
    <w:r>
      <w:rPr>
        <w:rFonts w:eastAsia="Times New Roman" w:cs="Times New Roman" w:ascii="Times New Roman" w:hAnsi="Times New Roman"/>
        <w:b/>
        <w:bCs/>
        <w:i w:val="false"/>
        <w:iCs w:val="false"/>
        <w:strike w:val="false"/>
        <w:dstrike w:val="false"/>
        <w:outline w:val="false"/>
        <w:shadow w:val="false"/>
        <w:color w:val="000000"/>
        <w:sz w:val="20"/>
        <w:szCs w:val="20"/>
        <w:u w:val="none"/>
        <w:em w:val="none"/>
      </w:rPr>
      <w:t>KMP Żory, ul. Wodzisławska 3 44-200 Żory /kontraktowi/</w:t>
    </w:r>
  </w:p>
  <w:p>
    <w:pPr>
      <w:pStyle w:val="Normal"/>
      <w:jc w:val="both"/>
      <w:rPr>
        <w:b/>
        <w:b/>
        <w:bCs/>
        <w:sz w:val="20"/>
        <w:szCs w:val="20"/>
      </w:rPr>
    </w:pPr>
    <w:r>
      <w:rPr>
        <w:rFonts w:eastAsia="Liberation Serif;Times New Roman" w:cs="Liberation Serif;Times New Roman" w:ascii="Times New Roman" w:hAnsi="Times New Roman"/>
        <w:b/>
        <w:bCs/>
        <w:sz w:val="20"/>
        <w:szCs w:val="20"/>
      </w:rPr>
      <w:t xml:space="preserve">                       </w:t>
    </w:r>
    <w:r>
      <w:rPr>
        <w:rFonts w:eastAsia="Liberation Serif;Times New Roman" w:cs="Liberation Serif;Times New Roman" w:ascii="Times New Roman" w:hAnsi="Times New Roman"/>
        <w:b/>
        <w:bCs/>
        <w:sz w:val="20"/>
        <w:szCs w:val="20"/>
      </w:rPr>
      <w:tab/>
      <w:tab/>
      <w:tab/>
      <w:tab/>
      <w:t xml:space="preserve"> </w:t>
    </w:r>
    <w:r>
      <w:rPr>
        <w:rFonts w:ascii="Times New Roman" w:hAnsi="Times New Roman"/>
        <w:b/>
        <w:bCs/>
        <w:sz w:val="20"/>
        <w:szCs w:val="20"/>
      </w:rPr>
      <w:t>Zamawiający dopuszcza różnice w podanych wymiarach +/- 2cm</w:t>
    </w:r>
    <w:r>
      <w:rPr>
        <w:rFonts w:eastAsia="Times New Roman" w:cs="Times New Roman" w:ascii="Times New Roman" w:hAnsi="Times New Roman"/>
        <w:b/>
        <w:bCs/>
        <w:sz w:val="20"/>
        <w:szCs w:val="20"/>
      </w:rPr>
      <w:t xml:space="preserve"> </w:t>
    </w:r>
  </w:p>
  <w:p>
    <w:pPr>
      <w:pStyle w:val="Gwk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napToGrid w:val="false"/>
      <w:jc w:val="both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widowControl w:val="false"/>
      <w:numPr>
        <w:ilvl w:val="0"/>
        <w:numId w:val="1"/>
      </w:numPr>
      <w:bidi w:val="0"/>
      <w:spacing w:before="240" w:after="120"/>
      <w:jc w:val="left"/>
      <w:outlineLvl w:val="0"/>
    </w:pPr>
    <w:rPr>
      <w:rFonts w:ascii="Liberation Serif" w:hAnsi="Liberation Serif" w:eastAsia="SimSun" w:cs="Mangal"/>
      <w:b/>
      <w:bCs/>
      <w:color w:val="auto"/>
      <w:kern w:val="0"/>
      <w:sz w:val="36"/>
      <w:szCs w:val="36"/>
      <w:lang w:val="pl-PL" w:eastAsia="zh-CN" w:bidi="hi-IN"/>
    </w:rPr>
  </w:style>
  <w:style w:type="paragraph" w:styleId="Nagwek2">
    <w:name w:val="Heading 2"/>
    <w:basedOn w:val="Nagwek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Liberation Serif" w:hAnsi="Liberation Serif" w:eastAsia="SimSun" w:cs="Mangal"/>
      <w:b/>
      <w:bCs/>
      <w:color w:val="auto"/>
      <w:kern w:val="0"/>
      <w:sz w:val="32"/>
      <w:szCs w:val="32"/>
      <w:lang w:val="pl-PL" w:eastAsia="zh-CN" w:bidi="hi-IN"/>
    </w:rPr>
  </w:style>
  <w:style w:type="paragraph" w:styleId="Nagwek3">
    <w:name w:val="Heading 3"/>
    <w:basedOn w:val="Nagwek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</w:pPr>
    <w:rPr>
      <w:rFonts w:ascii="Liberation Serif" w:hAnsi="Liberation Serif" w:eastAsia="SimSun" w:cs="Mangal"/>
      <w:b/>
      <w:bCs/>
      <w:color w:val="auto"/>
      <w:kern w:val="0"/>
      <w:sz w:val="28"/>
      <w:szCs w:val="28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Znak">
    <w:name w:val=" Znak Znak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1"/>
      <w:lang w:eastAsia="zh-CN" w:bidi="hi-IN"/>
    </w:rPr>
  </w:style>
  <w:style w:type="character" w:styleId="ZnakZnak1">
    <w:name w:val=" Znak Znak1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4"/>
      <w:lang w:eastAsia="zh-CN" w:bidi="hi-I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Nagwek21">
    <w:name w:val="Nagłówek2"/>
    <w:basedOn w:val="Nagwek11"/>
    <w:qFormat/>
    <w:pPr>
      <w:jc w:val="center"/>
    </w:pPr>
    <w:rPr>
      <w:b/>
      <w:bCs/>
      <w:sz w:val="56"/>
      <w:szCs w:val="56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  <w:snapToGrid w:val="false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Zawartotabeli1111">
    <w:name w:val="WW-Zawartość tabeli1111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Stopka">
    <w:name w:val="Foot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NormalnyWeb">
    <w:name w:val="Normalny (Web)"/>
    <w:basedOn w:val="Normal"/>
    <w:qFormat/>
    <w:pPr>
      <w:suppressAutoHyphens w:val="false"/>
      <w:snapToGrid w:val="true"/>
      <w:spacing w:before="280" w:after="280"/>
      <w:jc w:val="left"/>
    </w:pPr>
    <w:rPr>
      <w:rFonts w:ascii="Times New Roman" w:hAnsi="Times New Roman" w:eastAsia="Lucida Sans Unicode" w:cs="Times New Roman"/>
      <w:bCs/>
      <w:sz w:val="20"/>
      <w:szCs w:val="20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Teksttreci2">
    <w:name w:val="Tekst treści (2)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paragraph" w:styleId="Teksttreci">
    <w:name w:val="Tekst treści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1019</TotalTime>
  <Application>LibreOffice/6.0.5.2$Windows_X86_64 LibreOffice_project/54c8cbb85f300ac59db32fe8a675ff7683cd5a16</Application>
  <Pages>2</Pages>
  <Words>174</Words>
  <Characters>1137</Characters>
  <CharactersWithSpaces>1376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2016-05-26T22:33:00Z</dcterms:created>
  <dc:creator>User</dc:creator>
  <dc:description/>
  <dc:language>pl-PL</dc:language>
  <cp:lastModifiedBy/>
  <cp:lastPrinted>2018-10-23T14:14:00Z</cp:lastPrinted>
  <dcterms:modified xsi:type="dcterms:W3CDTF">2018-11-20T14:25:54Z</dcterms:modified>
  <cp:revision>117</cp:revision>
  <dc:subject/>
  <dc:title>Zadanie 7</dc:title>
</cp:coreProperties>
</file>